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ind w:left="142" w:right="394"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23 (HMRC Terms)</w:t>
      </w:r>
    </w:p>
    <w:p w:rsidR="00000000" w:rsidDel="00000000" w:rsidP="00000000" w:rsidRDefault="00000000" w:rsidRPr="00000000" w14:paraId="00000002">
      <w:pPr>
        <w:pStyle w:val="Heading2"/>
        <w:keepNext w:val="0"/>
        <w:keepLines w:val="0"/>
        <w:numPr>
          <w:ilvl w:val="0"/>
          <w:numId w:val="3"/>
        </w:numPr>
        <w:pBdr>
          <w:top w:space="0" w:sz="0" w:val="nil"/>
          <w:left w:space="0" w:sz="0" w:val="nil"/>
          <w:bottom w:space="0" w:sz="0" w:val="nil"/>
          <w:right w:space="0" w:sz="0" w:val="nil"/>
          <w:between w:space="0" w:sz="0" w:val="nil"/>
        </w:pBdr>
        <w:tabs>
          <w:tab w:val="left" w:pos="567"/>
        </w:tabs>
        <w:spacing w:after="240" w:before="0" w:line="24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3">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993"/>
          <w:tab w:val="left" w:pos="1134"/>
        </w:tabs>
        <w:spacing w:after="24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7795.999999999999" w:type="dxa"/>
        <w:jc w:val="left"/>
        <w:tblInd w:w="851.0" w:type="dxa"/>
        <w:tblLayout w:type="fixed"/>
        <w:tblLook w:val="0000"/>
      </w:tblPr>
      <w:tblGrid>
        <w:gridCol w:w="2292"/>
        <w:gridCol w:w="5504"/>
        <w:tblGridChange w:id="0">
          <w:tblGrid>
            <w:gridCol w:w="2292"/>
            <w:gridCol w:w="5504"/>
          </w:tblGrid>
        </w:tblGridChange>
      </w:tblGrid>
      <w:tr>
        <w:trPr>
          <w:cantSplit w:val="0"/>
          <w:tblHeader w:val="0"/>
        </w:trPr>
        <w:tc>
          <w:tcPr/>
          <w:p w:rsidR="00000000" w:rsidDel="00000000" w:rsidP="00000000" w:rsidRDefault="00000000" w:rsidRPr="00000000" w14:paraId="0000000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6">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7">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9">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p w:rsidR="00000000" w:rsidDel="00000000" w:rsidP="00000000" w:rsidRDefault="00000000" w:rsidRPr="00000000" w14:paraId="00000010">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1">
            <w:pPr>
              <w:spacing w:after="240" w:line="240" w:lineRule="auto"/>
              <w:ind w:left="209" w:firstLine="0"/>
              <w:rPr>
                <w:rFonts w:ascii="Arial" w:cs="Arial" w:eastAsia="Arial" w:hAnsi="Arial"/>
                <w:b w:val="1"/>
                <w:sz w:val="24"/>
                <w:szCs w:val="24"/>
              </w:rPr>
            </w:pPr>
            <w:bookmarkStart w:colFirst="0" w:colLast="0" w:name="_heading=h.gjdgxs" w:id="0"/>
            <w:bookmarkEnd w:id="0"/>
            <w:r w:rsidDel="00000000" w:rsidR="00000000" w:rsidRPr="00000000">
              <w:rPr>
                <w:rFonts w:ascii="Arial" w:cs="Arial" w:eastAsia="Arial" w:hAnsi="Arial"/>
                <w:b w:val="1"/>
                <w:sz w:val="24"/>
                <w:szCs w:val="24"/>
                <w:rtl w:val="0"/>
              </w:rPr>
              <w:t xml:space="preserve">“Purchase Order Number” </w:t>
            </w:r>
          </w:p>
        </w:tc>
        <w:tc>
          <w:tcPr/>
          <w:p w:rsidR="00000000" w:rsidDel="00000000" w:rsidP="00000000" w:rsidRDefault="00000000" w:rsidRPr="00000000" w14:paraId="00000012">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Deliverables;  </w:t>
            </w:r>
          </w:p>
        </w:tc>
      </w:tr>
      <w:tr>
        <w:trPr>
          <w:cantSplit w:val="0"/>
          <w:tblHeader w:val="0"/>
        </w:trPr>
        <w:tc>
          <w:tcPr/>
          <w:p w:rsidR="00000000" w:rsidDel="00000000" w:rsidP="00000000" w:rsidRDefault="00000000" w:rsidRPr="00000000" w14:paraId="00000013">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4">
            <w:pPr>
              <w:spacing w:after="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and</w:t>
            </w:r>
          </w:p>
        </w:tc>
      </w:tr>
      <w:tr>
        <w:trPr>
          <w:cantSplit w:val="0"/>
          <w:tblHeader w:val="0"/>
        </w:trPr>
        <w:tc>
          <w:tcPr/>
          <w:p w:rsidR="00000000" w:rsidDel="00000000" w:rsidP="00000000" w:rsidRDefault="00000000" w:rsidRPr="00000000" w14:paraId="00000015">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6">
            <w:pPr>
              <w:spacing w:after="240" w:line="240" w:lineRule="auto"/>
              <w:ind w:left="2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7">
            <w:pPr>
              <w:tabs>
                <w:tab w:val="left" w:pos="-75"/>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75"/>
              </w:tabs>
              <w:spacing w:after="0" w:before="0" w:line="240" w:lineRule="auto"/>
              <w:ind w:left="405"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means the Supplier or any agent, supplier or Subcontractor of the Supplier requested to be replaced pursuant to Paragraph 5.3; and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0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0" w:line="240" w:lineRule="auto"/>
              <w:ind w:left="405"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“Essential Subcontractor” means any Key Subcontractor.</w:t>
            </w:r>
          </w:p>
        </w:tc>
      </w:tr>
    </w:tbl>
    <w:p w:rsidR="00000000" w:rsidDel="00000000" w:rsidP="00000000" w:rsidRDefault="00000000" w:rsidRPr="00000000" w14:paraId="0000001B">
      <w:pPr>
        <w:pStyle w:val="Heading2"/>
        <w:keepNext w:val="0"/>
        <w:keepLines w:val="0"/>
        <w:numPr>
          <w:ilvl w:val="0"/>
          <w:numId w:val="3"/>
        </w:numPr>
        <w:pBdr>
          <w:top w:space="0" w:sz="0" w:val="nil"/>
          <w:left w:space="0" w:sz="0" w:val="nil"/>
          <w:bottom w:space="0" w:sz="0" w:val="nil"/>
          <w:right w:space="0" w:sz="0" w:val="nil"/>
          <w:between w:space="0" w:sz="0" w:val="nil"/>
        </w:pBdr>
        <w:tabs>
          <w:tab w:val="left" w:pos="567"/>
        </w:tabs>
        <w:spacing w:after="240" w:before="0" w:line="240" w:lineRule="auto"/>
        <w:ind w:left="0" w:firstLine="0"/>
        <w:jc w:val="both"/>
        <w:rPr>
          <w:rFonts w:ascii="Arial" w:cs="Arial" w:eastAsia="Arial" w:hAnsi="Arial"/>
          <w:b w:val="1"/>
          <w:color w:val="000000"/>
          <w:sz w:val="24"/>
          <w:szCs w:val="24"/>
        </w:rPr>
      </w:pPr>
      <w:bookmarkStart w:colFirst="0" w:colLast="0" w:name="_heading=h.30j0zll" w:id="1"/>
      <w:bookmarkEnd w:id="1"/>
      <w:r w:rsidDel="00000000" w:rsidR="00000000" w:rsidRPr="00000000">
        <w:rPr>
          <w:rFonts w:ascii="Arial" w:cs="Arial" w:eastAsia="Arial" w:hAnsi="Arial"/>
          <w:b w:val="1"/>
          <w:color w:val="000000"/>
          <w:sz w:val="24"/>
          <w:szCs w:val="24"/>
          <w:rtl w:val="0"/>
        </w:rPr>
        <w:t xml:space="preserve">Exclusion of certain Core Terms and terms of Schedules</w:t>
      </w:r>
    </w:p>
    <w:p w:rsidR="00000000" w:rsidDel="00000000" w:rsidP="00000000" w:rsidRDefault="00000000" w:rsidRPr="00000000" w14:paraId="0000001C">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993"/>
          <w:tab w:val="left" w:pos="1134"/>
        </w:tabs>
        <w:spacing w:after="24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Parties have entered into a Call-Off Contract which incorporates the terms of this Call-Off Schedule 23, the following Core Terms are modified in respect of that Call-Off Contract (but are not modified in respect of the Framework Contract):</w:t>
      </w:r>
    </w:p>
    <w:p w:rsidR="00000000" w:rsidDel="00000000" w:rsidP="00000000" w:rsidRDefault="00000000" w:rsidRPr="00000000" w14:paraId="0000001D">
      <w:pPr>
        <w:pStyle w:val="Heading2"/>
        <w:keepNext w:val="0"/>
        <w:keepLines w:val="0"/>
        <w:numPr>
          <w:ilvl w:val="2"/>
          <w:numId w:val="3"/>
        </w:numPr>
        <w:spacing w:after="240" w:before="0" w:line="240" w:lineRule="auto"/>
        <w:ind w:left="1985"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Clauses 31.1, 31.2, 31.3 and 31.4(d) of the Core Terms do not apply to that Call-Off Contract, but for the avoidance of doubt, the remainder of Clause 31.4 of the Core Terms shall continue to apply to the Call-Off Contract; and</w:t>
      </w:r>
    </w:p>
    <w:p w:rsidR="00000000" w:rsidDel="00000000" w:rsidP="00000000" w:rsidRDefault="00000000" w:rsidRPr="00000000" w14:paraId="0000001E">
      <w:pPr>
        <w:pStyle w:val="Heading2"/>
        <w:keepNext w:val="0"/>
        <w:keepLines w:val="0"/>
        <w:numPr>
          <w:ilvl w:val="2"/>
          <w:numId w:val="3"/>
        </w:numPr>
        <w:spacing w:after="240" w:before="0" w:line="240" w:lineRule="auto"/>
        <w:ind w:left="1985" w:hanging="851"/>
        <w:jc w:val="both"/>
        <w:rPr/>
      </w:pPr>
      <w:r w:rsidDel="00000000" w:rsidR="00000000" w:rsidRPr="00000000">
        <w:rPr>
          <w:rFonts w:ascii="Arial" w:cs="Arial" w:eastAsia="Arial" w:hAnsi="Arial"/>
          <w:color w:val="000000"/>
          <w:sz w:val="24"/>
          <w:szCs w:val="24"/>
          <w:rtl w:val="0"/>
        </w:rPr>
        <w:t xml:space="preserve">Clause 7.2 of the Core Terms does not apply to that Call-Off Contract.</w:t>
      </w:r>
      <w:r w:rsidDel="00000000" w:rsidR="00000000" w:rsidRPr="00000000">
        <w:rPr>
          <w:rtl w:val="0"/>
        </w:rPr>
      </w:r>
    </w:p>
    <w:p w:rsidR="00000000" w:rsidDel="00000000" w:rsidP="00000000" w:rsidRDefault="00000000" w:rsidRPr="00000000" w14:paraId="0000001F">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993"/>
          <w:tab w:val="left" w:pos="1134"/>
        </w:tabs>
        <w:spacing w:after="24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Parties have entered into a Call-Off Contract which incorporates the terms of this Call-Off Schedule 23, the following Joint Schedules are modified in respect of that Call-Off Contract (but are not disapplied in respect of the Framework Contract):</w:t>
      </w:r>
    </w:p>
    <w:p w:rsidR="00000000" w:rsidDel="00000000" w:rsidP="00000000" w:rsidRDefault="00000000" w:rsidRPr="00000000" w14:paraId="00000020">
      <w:pPr>
        <w:pStyle w:val="Heading2"/>
        <w:keepNext w:val="0"/>
        <w:keepLines w:val="0"/>
        <w:numPr>
          <w:ilvl w:val="2"/>
          <w:numId w:val="3"/>
        </w:numPr>
        <w:spacing w:after="240" w:before="0" w:line="240" w:lineRule="auto"/>
        <w:ind w:left="1985"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Call-Off Contract; and</w:t>
      </w:r>
    </w:p>
    <w:p w:rsidR="00000000" w:rsidDel="00000000" w:rsidP="00000000" w:rsidRDefault="00000000" w:rsidRPr="00000000" w14:paraId="00000021">
      <w:pPr>
        <w:pStyle w:val="Heading2"/>
        <w:keepNext w:val="0"/>
        <w:keepLines w:val="0"/>
        <w:numPr>
          <w:ilvl w:val="2"/>
          <w:numId w:val="3"/>
        </w:numPr>
        <w:spacing w:after="240" w:before="0" w:line="240" w:lineRule="auto"/>
        <w:ind w:left="1985"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5(d) of Joint Schedule 11 (Processing Data) does not apply to that Call-Off Contract.</w:t>
      </w:r>
    </w:p>
    <w:p w:rsidR="00000000" w:rsidDel="00000000" w:rsidP="00000000" w:rsidRDefault="00000000" w:rsidRPr="00000000" w14:paraId="00000022">
      <w:pPr>
        <w:pStyle w:val="Heading2"/>
        <w:keepNext w:val="0"/>
        <w:keepLines w:val="0"/>
        <w:numPr>
          <w:ilvl w:val="0"/>
          <w:numId w:val="3"/>
        </w:numPr>
        <w:pBdr>
          <w:top w:space="0" w:sz="0" w:val="nil"/>
          <w:left w:space="0" w:sz="0" w:val="nil"/>
          <w:bottom w:space="0" w:sz="0" w:val="nil"/>
          <w:right w:space="0" w:sz="0" w:val="nil"/>
          <w:between w:space="0" w:sz="0" w:val="nil"/>
        </w:pBdr>
        <w:tabs>
          <w:tab w:val="left" w:pos="567"/>
        </w:tabs>
        <w:spacing w:after="240" w:before="0" w:line="24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 Payment and Recovery of Sums Due </w:t>
      </w:r>
    </w:p>
    <w:p w:rsidR="00000000" w:rsidDel="00000000" w:rsidP="00000000" w:rsidRDefault="00000000" w:rsidRPr="00000000" w14:paraId="00000023">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993"/>
          <w:tab w:val="left" w:pos="1134"/>
        </w:tabs>
        <w:spacing w:after="24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invoice the Buyer as specified in Clause 4 of the Core Terms as modified by any Framework Special Terms or any Call-Off Special Terms. </w:t>
      </w:r>
    </w:p>
    <w:p w:rsidR="00000000" w:rsidDel="00000000" w:rsidP="00000000" w:rsidRDefault="00000000" w:rsidRPr="00000000" w14:paraId="00000024">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993"/>
          <w:tab w:val="left" w:pos="1134"/>
        </w:tabs>
        <w:spacing w:after="24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the provisions of Clause 4 of the Core Terms and any applicable Framework Special Term or Call-Off Special Term, the Supplier shall procure a Purchase Order Number from the Buyer before any Deliverables are supplied. Should the Supplier supply Deliverables without a Purchase Order Number: </w:t>
      </w:r>
    </w:p>
    <w:p w:rsidR="00000000" w:rsidDel="00000000" w:rsidP="00000000" w:rsidRDefault="00000000" w:rsidRPr="00000000" w14:paraId="00000025">
      <w:pPr>
        <w:pStyle w:val="Heading2"/>
        <w:keepNext w:val="0"/>
        <w:keepLines w:val="0"/>
        <w:numPr>
          <w:ilvl w:val="2"/>
          <w:numId w:val="3"/>
        </w:numPr>
        <w:spacing w:after="240" w:before="0" w:line="240" w:lineRule="auto"/>
        <w:ind w:left="1985"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does so at its own risk; and</w:t>
      </w:r>
    </w:p>
    <w:p w:rsidR="00000000" w:rsidDel="00000000" w:rsidP="00000000" w:rsidRDefault="00000000" w:rsidRPr="00000000" w14:paraId="00000026">
      <w:pPr>
        <w:pStyle w:val="Heading2"/>
        <w:keepNext w:val="0"/>
        <w:keepLines w:val="0"/>
        <w:numPr>
          <w:ilvl w:val="2"/>
          <w:numId w:val="3"/>
        </w:numPr>
        <w:spacing w:after="240" w:before="0" w:line="240" w:lineRule="auto"/>
        <w:ind w:left="1985"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p>
    <w:p w:rsidR="00000000" w:rsidDel="00000000" w:rsidP="00000000" w:rsidRDefault="00000000" w:rsidRPr="00000000" w14:paraId="00000027">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993"/>
          <w:tab w:val="left" w:pos="1134"/>
        </w:tabs>
        <w:spacing w:after="24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submit each invoice and any Supporting Documentation required in accordance with Clause 4 of the Core Terms and any applicable Framework Special Term or Call-Off Special Term, as directed by the Buyer from time to time, either: </w:t>
      </w:r>
    </w:p>
    <w:p w:rsidR="00000000" w:rsidDel="00000000" w:rsidP="00000000" w:rsidRDefault="00000000" w:rsidRPr="00000000" w14:paraId="00000028">
      <w:pPr>
        <w:pStyle w:val="Heading2"/>
        <w:keepNext w:val="0"/>
        <w:keepLines w:val="0"/>
        <w:numPr>
          <w:ilvl w:val="2"/>
          <w:numId w:val="3"/>
        </w:numPr>
        <w:spacing w:after="240" w:before="0" w:line="240" w:lineRule="auto"/>
        <w:ind w:left="1985"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via the Buyer ’s electronic transaction system as an Electronic Invoice; or </w:t>
      </w:r>
    </w:p>
    <w:p w:rsidR="00000000" w:rsidDel="00000000" w:rsidP="00000000" w:rsidRDefault="00000000" w:rsidRPr="00000000" w14:paraId="00000029">
      <w:pPr>
        <w:pStyle w:val="Heading2"/>
        <w:keepNext w:val="0"/>
        <w:keepLines w:val="0"/>
        <w:numPr>
          <w:ilvl w:val="2"/>
          <w:numId w:val="3"/>
        </w:numPr>
        <w:spacing w:after="240" w:before="0" w:line="240" w:lineRule="auto"/>
        <w:ind w:left="1985"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Supplier in writing by the Buyer) by email in pdf format or, if agreed with the Buyer, in hard copy by post.</w:t>
      </w:r>
    </w:p>
    <w:p w:rsidR="00000000" w:rsidDel="00000000" w:rsidP="00000000" w:rsidRDefault="00000000" w:rsidRPr="00000000" w14:paraId="0000002A">
      <w:pPr>
        <w:pStyle w:val="Heading2"/>
        <w:keepNext w:val="0"/>
        <w:keepLines w:val="0"/>
        <w:numPr>
          <w:ilvl w:val="0"/>
          <w:numId w:val="3"/>
        </w:numPr>
        <w:pBdr>
          <w:top w:space="0" w:sz="0" w:val="nil"/>
          <w:left w:space="0" w:sz="0" w:val="nil"/>
          <w:bottom w:space="0" w:sz="0" w:val="nil"/>
          <w:right w:space="0" w:sz="0" w:val="nil"/>
          <w:between w:space="0" w:sz="0" w:val="nil"/>
        </w:pBdr>
        <w:tabs>
          <w:tab w:val="left" w:pos="567"/>
        </w:tabs>
        <w:spacing w:after="240" w:before="0" w:line="24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Warranties</w:t>
      </w:r>
    </w:p>
    <w:p w:rsidR="00000000" w:rsidDel="00000000" w:rsidP="00000000" w:rsidRDefault="00000000" w:rsidRPr="00000000" w14:paraId="0000002B">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993"/>
          <w:tab w:val="left" w:pos="1134"/>
        </w:tabs>
        <w:spacing w:after="24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represents and warrants that:</w:t>
      </w:r>
    </w:p>
    <w:p w:rsidR="00000000" w:rsidDel="00000000" w:rsidP="00000000" w:rsidRDefault="00000000" w:rsidRPr="00000000" w14:paraId="0000002C">
      <w:pPr>
        <w:pStyle w:val="Heading2"/>
        <w:keepNext w:val="0"/>
        <w:keepLines w:val="0"/>
        <w:numPr>
          <w:ilvl w:val="2"/>
          <w:numId w:val="3"/>
        </w:numPr>
        <w:spacing w:after="240" w:before="0" w:line="240" w:lineRule="auto"/>
        <w:ind w:left="1985" w:hanging="851"/>
        <w:jc w:val="both"/>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p>
    <w:p w:rsidR="00000000" w:rsidDel="00000000" w:rsidP="00000000" w:rsidRDefault="00000000" w:rsidRPr="00000000" w14:paraId="0000002D">
      <w:pPr>
        <w:pStyle w:val="Heading2"/>
        <w:keepNext w:val="0"/>
        <w:keepLines w:val="0"/>
        <w:numPr>
          <w:ilvl w:val="2"/>
          <w:numId w:val="3"/>
        </w:numPr>
        <w:spacing w:after="240" w:before="0" w:line="240" w:lineRule="auto"/>
        <w:ind w:left="1985" w:hanging="851"/>
        <w:jc w:val="both"/>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p>
    <w:p w:rsidR="00000000" w:rsidDel="00000000" w:rsidP="00000000" w:rsidRDefault="00000000" w:rsidRPr="00000000" w14:paraId="0000002E">
      <w:pPr>
        <w:pStyle w:val="Heading2"/>
        <w:keepNext w:val="0"/>
        <w:keepLines w:val="0"/>
        <w:numPr>
          <w:ilvl w:val="2"/>
          <w:numId w:val="3"/>
        </w:numPr>
        <w:spacing w:after="240" w:before="0" w:line="240" w:lineRule="auto"/>
        <w:ind w:left="1985" w:hanging="851"/>
        <w:jc w:val="both"/>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p>
    <w:p w:rsidR="00000000" w:rsidDel="00000000" w:rsidP="00000000" w:rsidRDefault="00000000" w:rsidRPr="00000000" w14:paraId="0000002F">
      <w:pPr>
        <w:pStyle w:val="Heading2"/>
        <w:keepNext w:val="0"/>
        <w:keepLines w:val="0"/>
        <w:numPr>
          <w:ilvl w:val="3"/>
          <w:numId w:val="3"/>
        </w:numPr>
        <w:spacing w:after="240" w:before="0" w:line="240" w:lineRule="auto"/>
        <w:ind w:left="3119" w:hanging="113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winding up of the Supplier; </w:t>
      </w:r>
    </w:p>
    <w:p w:rsidR="00000000" w:rsidDel="00000000" w:rsidP="00000000" w:rsidRDefault="00000000" w:rsidRPr="00000000" w14:paraId="00000030">
      <w:pPr>
        <w:pStyle w:val="Heading2"/>
        <w:keepNext w:val="0"/>
        <w:keepLines w:val="0"/>
        <w:numPr>
          <w:ilvl w:val="3"/>
          <w:numId w:val="3"/>
        </w:numPr>
        <w:spacing w:after="240" w:before="0" w:line="240" w:lineRule="auto"/>
        <w:ind w:left="3119" w:hanging="113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dissolution; or</w:t>
      </w:r>
    </w:p>
    <w:p w:rsidR="00000000" w:rsidDel="00000000" w:rsidP="00000000" w:rsidRDefault="00000000" w:rsidRPr="00000000" w14:paraId="00000031">
      <w:pPr>
        <w:pStyle w:val="Heading2"/>
        <w:keepNext w:val="0"/>
        <w:keepLines w:val="0"/>
        <w:numPr>
          <w:ilvl w:val="3"/>
          <w:numId w:val="3"/>
        </w:numPr>
        <w:spacing w:after="240" w:before="0" w:line="240" w:lineRule="auto"/>
        <w:ind w:left="3119" w:hanging="113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p>
    <w:p w:rsidR="00000000" w:rsidDel="00000000" w:rsidP="00000000" w:rsidRDefault="00000000" w:rsidRPr="00000000" w14:paraId="00000032">
      <w:pPr>
        <w:pStyle w:val="Heading2"/>
        <w:keepNext w:val="0"/>
        <w:keepLines w:val="0"/>
        <w:spacing w:after="240" w:before="0" w:line="240" w:lineRule="auto"/>
        <w:ind w:left="198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33">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993"/>
          <w:tab w:val="left" w:pos="1134"/>
        </w:tabs>
        <w:spacing w:after="24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p>
    <w:p w:rsidR="00000000" w:rsidDel="00000000" w:rsidP="00000000" w:rsidRDefault="00000000" w:rsidRPr="00000000" w14:paraId="00000034">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993"/>
          <w:tab w:val="left" w:pos="1134"/>
        </w:tabs>
        <w:spacing w:after="24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warranty given by the Supplier in Paragraph 4.1.2 is materially untrue, this shall be deemed to be an event to which Clause 10.4.1 of the Core Terms applies and Clauses 10.6.1 and 10.6.2 of the Core Terms shall apply as if the Contract had been terminated under Clause 10.4.1.</w:t>
      </w:r>
    </w:p>
    <w:p w:rsidR="00000000" w:rsidDel="00000000" w:rsidP="00000000" w:rsidRDefault="00000000" w:rsidRPr="00000000" w14:paraId="00000035">
      <w:pPr>
        <w:pStyle w:val="Heading2"/>
        <w:keepNext w:val="0"/>
        <w:keepLines w:val="0"/>
        <w:numPr>
          <w:ilvl w:val="0"/>
          <w:numId w:val="3"/>
        </w:numPr>
        <w:pBdr>
          <w:top w:space="0" w:sz="0" w:val="nil"/>
          <w:left w:space="0" w:sz="0" w:val="nil"/>
          <w:bottom w:space="0" w:sz="0" w:val="nil"/>
          <w:right w:space="0" w:sz="0" w:val="nil"/>
          <w:between w:space="0" w:sz="0" w:val="nil"/>
        </w:pBdr>
        <w:tabs>
          <w:tab w:val="left" w:pos="567"/>
        </w:tabs>
        <w:spacing w:after="240" w:before="0" w:line="24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Promoting Tax Compliance</w:t>
      </w:r>
    </w:p>
    <w:p w:rsidR="00000000" w:rsidDel="00000000" w:rsidP="00000000" w:rsidRDefault="00000000" w:rsidRPr="00000000" w14:paraId="00000036">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993"/>
          <w:tab w:val="left" w:pos="1134"/>
        </w:tabs>
        <w:spacing w:after="24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Law relating to Tax and with the equivalent legal provisions of the country in which the Supplier is established. </w:t>
      </w:r>
    </w:p>
    <w:p w:rsidR="00000000" w:rsidDel="00000000" w:rsidP="00000000" w:rsidRDefault="00000000" w:rsidRPr="00000000" w14:paraId="00000037">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993"/>
          <w:tab w:val="left" w:pos="1134"/>
        </w:tabs>
        <w:spacing w:after="24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Contract. </w:t>
      </w:r>
    </w:p>
    <w:p w:rsidR="00000000" w:rsidDel="00000000" w:rsidP="00000000" w:rsidRDefault="00000000" w:rsidRPr="00000000" w14:paraId="00000038">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993"/>
          <w:tab w:val="left" w:pos="1134"/>
        </w:tabs>
        <w:spacing w:after="24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a request by the Buyer, the Supplier shall not contract, or will cease to contract, with any agent, supplier or Subcontractor of the Supplier engaged in supplying Deliverables under the Contract.  </w:t>
      </w:r>
    </w:p>
    <w:p w:rsidR="00000000" w:rsidDel="00000000" w:rsidP="00000000" w:rsidRDefault="00000000" w:rsidRPr="00000000" w14:paraId="00000039">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993"/>
          <w:tab w:val="left" w:pos="1134"/>
        </w:tabs>
        <w:spacing w:after="24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at any point during the Call-Off Contract Period, there is a Tax Compliance Failure, the Supplier shall:</w:t>
      </w:r>
    </w:p>
    <w:p w:rsidR="00000000" w:rsidDel="00000000" w:rsidP="00000000" w:rsidRDefault="00000000" w:rsidRPr="00000000" w14:paraId="0000003A">
      <w:pPr>
        <w:pStyle w:val="Heading2"/>
        <w:keepNext w:val="0"/>
        <w:keepLines w:val="0"/>
        <w:numPr>
          <w:ilvl w:val="2"/>
          <w:numId w:val="3"/>
        </w:numPr>
        <w:spacing w:after="240" w:before="0" w:line="240" w:lineRule="auto"/>
        <w:ind w:left="1985" w:hanging="851"/>
        <w:jc w:val="both"/>
        <w:rPr>
          <w:rFonts w:ascii="Arial" w:cs="Arial" w:eastAsia="Arial" w:hAnsi="Arial"/>
          <w:color w:val="000000"/>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notify the Buyer in writing within five (5) Working Days of its occurrence; and</w:t>
      </w:r>
    </w:p>
    <w:p w:rsidR="00000000" w:rsidDel="00000000" w:rsidP="00000000" w:rsidRDefault="00000000" w:rsidRPr="00000000" w14:paraId="0000003B">
      <w:pPr>
        <w:pStyle w:val="Heading2"/>
        <w:keepNext w:val="0"/>
        <w:keepLines w:val="0"/>
        <w:numPr>
          <w:ilvl w:val="2"/>
          <w:numId w:val="3"/>
        </w:numPr>
        <w:spacing w:after="240" w:before="0" w:line="240" w:lineRule="auto"/>
        <w:ind w:left="1985" w:hanging="851"/>
        <w:jc w:val="both"/>
        <w:rPr>
          <w:rFonts w:ascii="Arial" w:cs="Arial" w:eastAsia="Arial" w:hAnsi="Arial"/>
          <w:color w:val="000000"/>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promptly provide to the Buyer:</w:t>
      </w:r>
    </w:p>
    <w:p w:rsidR="00000000" w:rsidDel="00000000" w:rsidP="00000000" w:rsidRDefault="00000000" w:rsidRPr="00000000" w14:paraId="0000003C">
      <w:pPr>
        <w:pStyle w:val="Heading2"/>
        <w:keepNext w:val="0"/>
        <w:keepLines w:val="0"/>
        <w:numPr>
          <w:ilvl w:val="3"/>
          <w:numId w:val="3"/>
        </w:numPr>
        <w:spacing w:after="240" w:before="0" w:line="240" w:lineRule="auto"/>
        <w:ind w:left="3119" w:hanging="113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p>
    <w:p w:rsidR="00000000" w:rsidDel="00000000" w:rsidP="00000000" w:rsidRDefault="00000000" w:rsidRPr="00000000" w14:paraId="0000003D">
      <w:pPr>
        <w:pStyle w:val="Heading2"/>
        <w:keepNext w:val="0"/>
        <w:keepLines w:val="0"/>
        <w:numPr>
          <w:ilvl w:val="3"/>
          <w:numId w:val="3"/>
        </w:numPr>
        <w:spacing w:after="240" w:before="0" w:line="240" w:lineRule="auto"/>
        <w:ind w:left="3119" w:hanging="113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p>
    <w:p w:rsidR="00000000" w:rsidDel="00000000" w:rsidP="00000000" w:rsidRDefault="00000000" w:rsidRPr="00000000" w14:paraId="0000003E">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993"/>
          <w:tab w:val="left" w:pos="1134"/>
        </w:tabs>
        <w:spacing w:after="24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Contract. </w:t>
      </w:r>
    </w:p>
    <w:p w:rsidR="00000000" w:rsidDel="00000000" w:rsidP="00000000" w:rsidRDefault="00000000" w:rsidRPr="00000000" w14:paraId="0000003F">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993"/>
          <w:tab w:val="left" w:pos="1134"/>
        </w:tabs>
        <w:spacing w:after="24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amounts due under Paragraph 5.5 shall be paid not less than five (5) Working Days before the date upon which the Tax or other liability is payable by the Buyer.  Any amounts due under Paragraph 5.5 shall not be subject to clause 11.2 of the Core Terms.</w:t>
      </w:r>
    </w:p>
    <w:p w:rsidR="00000000" w:rsidDel="00000000" w:rsidP="00000000" w:rsidRDefault="00000000" w:rsidRPr="00000000" w14:paraId="00000040">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993"/>
          <w:tab w:val="left" w:pos="1134"/>
        </w:tabs>
        <w:spacing w:after="24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Buyer’s request, the Supplier shall promptly provide information which demonstrates how the Supplier complies with its Tax obligations. </w:t>
      </w:r>
    </w:p>
    <w:p w:rsidR="00000000" w:rsidDel="00000000" w:rsidP="00000000" w:rsidRDefault="00000000" w:rsidRPr="00000000" w14:paraId="00000041">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993"/>
          <w:tab w:val="left" w:pos="1134"/>
        </w:tabs>
        <w:spacing w:after="24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w:t>
      </w:r>
    </w:p>
    <w:p w:rsidR="00000000" w:rsidDel="00000000" w:rsidP="00000000" w:rsidRDefault="00000000" w:rsidRPr="00000000" w14:paraId="00000042">
      <w:pPr>
        <w:pStyle w:val="Heading2"/>
        <w:keepNext w:val="0"/>
        <w:keepLines w:val="0"/>
        <w:numPr>
          <w:ilvl w:val="2"/>
          <w:numId w:val="3"/>
        </w:numPr>
        <w:spacing w:after="240" w:before="0" w:line="240" w:lineRule="auto"/>
        <w:ind w:left="1985"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Contract; </w:t>
      </w:r>
    </w:p>
    <w:p w:rsidR="00000000" w:rsidDel="00000000" w:rsidP="00000000" w:rsidRDefault="00000000" w:rsidRPr="00000000" w14:paraId="00000043">
      <w:pPr>
        <w:pStyle w:val="Heading2"/>
        <w:keepNext w:val="0"/>
        <w:keepLines w:val="0"/>
        <w:numPr>
          <w:ilvl w:val="2"/>
          <w:numId w:val="3"/>
        </w:numPr>
        <w:spacing w:after="240" w:before="0" w:line="240" w:lineRule="auto"/>
        <w:ind w:left="1985"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Contract; and/or</w:t>
      </w:r>
    </w:p>
    <w:p w:rsidR="00000000" w:rsidDel="00000000" w:rsidP="00000000" w:rsidRDefault="00000000" w:rsidRPr="00000000" w14:paraId="00000044">
      <w:pPr>
        <w:pStyle w:val="Heading2"/>
        <w:keepNext w:val="0"/>
        <w:keepLines w:val="0"/>
        <w:numPr>
          <w:ilvl w:val="2"/>
          <w:numId w:val="3"/>
        </w:numPr>
        <w:spacing w:after="240" w:before="0" w:line="240" w:lineRule="auto"/>
        <w:ind w:left="1985"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Contract;</w:t>
      </w:r>
    </w:p>
    <w:p w:rsidR="00000000" w:rsidDel="00000000" w:rsidP="00000000" w:rsidRDefault="00000000" w:rsidRPr="00000000" w14:paraId="0000004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 w:val="left" w:pos="1134"/>
        </w:tabs>
        <w:spacing w:after="240" w:before="0" w:line="240" w:lineRule="auto"/>
        <w:ind w:left="1134"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any such material breach shall be deemed to be an event to which clause 10.4.1 of the Core Terms applies and Clauses 10.6.1 and 10.6.2 of the Core Terms shall apply as if the Contract had been terminated under Clause 10.4.1.</w:t>
      </w:r>
    </w:p>
    <w:p w:rsidR="00000000" w:rsidDel="00000000" w:rsidP="00000000" w:rsidRDefault="00000000" w:rsidRPr="00000000" w14:paraId="00000046">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993"/>
          <w:tab w:val="left" w:pos="1134"/>
        </w:tabs>
        <w:spacing w:after="24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those circumstances listed in clause 15.2 to 15.4 of the Core Terms, the Buyer may internally share any information, including Confidential Information, which it receives under Paragraphs 5.2 to 5.4 (inclusive) and 5.7. </w:t>
      </w:r>
    </w:p>
    <w:p w:rsidR="00000000" w:rsidDel="00000000" w:rsidP="00000000" w:rsidRDefault="00000000" w:rsidRPr="00000000" w14:paraId="00000047">
      <w:pPr>
        <w:pStyle w:val="Heading2"/>
        <w:keepNext w:val="0"/>
        <w:keepLines w:val="0"/>
        <w:numPr>
          <w:ilvl w:val="0"/>
          <w:numId w:val="3"/>
        </w:numPr>
        <w:pBdr>
          <w:top w:space="0" w:sz="0" w:val="nil"/>
          <w:left w:space="0" w:sz="0" w:val="nil"/>
          <w:bottom w:space="0" w:sz="0" w:val="nil"/>
          <w:right w:space="0" w:sz="0" w:val="nil"/>
          <w:between w:space="0" w:sz="0" w:val="nil"/>
        </w:pBdr>
        <w:tabs>
          <w:tab w:val="left" w:pos="567"/>
        </w:tabs>
        <w:spacing w:after="240" w:before="0" w:line="240" w:lineRule="auto"/>
        <w:ind w:left="0" w:firstLine="0"/>
        <w:jc w:val="both"/>
        <w:rPr>
          <w:rFonts w:ascii="Arial" w:cs="Arial" w:eastAsia="Arial" w:hAnsi="Arial"/>
          <w:b w:val="1"/>
          <w:color w:val="000000"/>
          <w:sz w:val="24"/>
          <w:szCs w:val="24"/>
        </w:rPr>
      </w:pPr>
      <w:bookmarkStart w:colFirst="0" w:colLast="0" w:name="_heading=h.35nkun2" w:id="14"/>
      <w:bookmarkEnd w:id="14"/>
      <w:r w:rsidDel="00000000" w:rsidR="00000000" w:rsidRPr="00000000">
        <w:rPr>
          <w:rFonts w:ascii="Arial" w:cs="Arial" w:eastAsia="Arial" w:hAnsi="Arial"/>
          <w:b w:val="1"/>
          <w:color w:val="000000"/>
          <w:sz w:val="24"/>
          <w:szCs w:val="24"/>
          <w:rtl w:val="0"/>
        </w:rPr>
        <w:t xml:space="preserve">Use of Off-shore Tax Structures</w:t>
      </w:r>
    </w:p>
    <w:p w:rsidR="00000000" w:rsidDel="00000000" w:rsidP="00000000" w:rsidRDefault="00000000" w:rsidRPr="00000000" w14:paraId="00000048">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993"/>
          <w:tab w:val="left" w:pos="1134"/>
        </w:tabs>
        <w:spacing w:after="24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p>
    <w:p w:rsidR="00000000" w:rsidDel="00000000" w:rsidP="00000000" w:rsidRDefault="00000000" w:rsidRPr="00000000" w14:paraId="00000049">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993"/>
          <w:tab w:val="left" w:pos="1134"/>
        </w:tabs>
        <w:spacing w:after="24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p>
    <w:p w:rsidR="00000000" w:rsidDel="00000000" w:rsidP="00000000" w:rsidRDefault="00000000" w:rsidRPr="00000000" w14:paraId="0000004A">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993"/>
          <w:tab w:val="left" w:pos="1134"/>
        </w:tabs>
        <w:spacing w:after="24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p>
    <w:p w:rsidR="00000000" w:rsidDel="00000000" w:rsidP="00000000" w:rsidRDefault="00000000" w:rsidRPr="00000000" w14:paraId="0000004B">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993"/>
          <w:tab w:val="left" w:pos="1134"/>
        </w:tabs>
        <w:spacing w:after="24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p>
    <w:p w:rsidR="00000000" w:rsidDel="00000000" w:rsidP="00000000" w:rsidRDefault="00000000" w:rsidRPr="00000000" w14:paraId="0000004C">
      <w:pPr>
        <w:pStyle w:val="Heading2"/>
        <w:keepNext w:val="0"/>
        <w:keepLines w:val="0"/>
        <w:numPr>
          <w:ilvl w:val="0"/>
          <w:numId w:val="3"/>
        </w:numPr>
        <w:pBdr>
          <w:top w:space="0" w:sz="0" w:val="nil"/>
          <w:left w:space="0" w:sz="0" w:val="nil"/>
          <w:bottom w:space="0" w:sz="0" w:val="nil"/>
          <w:right w:space="0" w:sz="0" w:val="nil"/>
          <w:between w:space="0" w:sz="0" w:val="nil"/>
        </w:pBdr>
        <w:tabs>
          <w:tab w:val="left" w:pos="567"/>
        </w:tabs>
        <w:spacing w:after="240" w:before="0" w:line="24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and off-shoring</w:t>
      </w:r>
    </w:p>
    <w:p w:rsidR="00000000" w:rsidDel="00000000" w:rsidP="00000000" w:rsidRDefault="00000000" w:rsidRPr="00000000" w14:paraId="0000004D">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993"/>
          <w:tab w:val="left" w:pos="1134"/>
        </w:tabs>
        <w:spacing w:after="24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Processor shall, in relation to any Personal Data Processed in connection with its obligations under the Contract:</w:t>
      </w:r>
    </w:p>
    <w:p w:rsidR="00000000" w:rsidDel="00000000" w:rsidP="00000000" w:rsidRDefault="00000000" w:rsidRPr="00000000" w14:paraId="0000004E">
      <w:pPr>
        <w:pStyle w:val="Heading2"/>
        <w:keepNext w:val="0"/>
        <w:keepLines w:val="0"/>
        <w:numPr>
          <w:ilvl w:val="2"/>
          <w:numId w:val="3"/>
        </w:numPr>
        <w:spacing w:after="240" w:before="0" w:line="240" w:lineRule="auto"/>
        <w:ind w:left="1985"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p>
    <w:p w:rsidR="00000000" w:rsidDel="00000000" w:rsidP="00000000" w:rsidRDefault="00000000" w:rsidRPr="00000000" w14:paraId="0000004F">
      <w:pPr>
        <w:pStyle w:val="Heading2"/>
        <w:keepNext w:val="0"/>
        <w:keepLines w:val="0"/>
        <w:numPr>
          <w:ilvl w:val="3"/>
          <w:numId w:val="3"/>
        </w:numPr>
        <w:spacing w:after="240" w:before="0" w:line="240" w:lineRule="auto"/>
        <w:ind w:left="3119" w:hanging="113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GDPR Article 46 or LED Article 37) as determined by the Controller;</w:t>
      </w:r>
    </w:p>
    <w:p w:rsidR="00000000" w:rsidDel="00000000" w:rsidP="00000000" w:rsidRDefault="00000000" w:rsidRPr="00000000" w14:paraId="00000050">
      <w:pPr>
        <w:pStyle w:val="Heading2"/>
        <w:keepNext w:val="0"/>
        <w:keepLines w:val="0"/>
        <w:numPr>
          <w:ilvl w:val="3"/>
          <w:numId w:val="3"/>
        </w:numPr>
        <w:spacing w:after="240" w:before="0" w:line="240" w:lineRule="auto"/>
        <w:ind w:left="3119" w:hanging="113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p>
    <w:p w:rsidR="00000000" w:rsidDel="00000000" w:rsidP="00000000" w:rsidRDefault="00000000" w:rsidRPr="00000000" w14:paraId="00000051">
      <w:pPr>
        <w:pStyle w:val="Heading2"/>
        <w:keepNext w:val="0"/>
        <w:keepLines w:val="0"/>
        <w:numPr>
          <w:ilvl w:val="3"/>
          <w:numId w:val="3"/>
        </w:numPr>
        <w:spacing w:after="240" w:before="0" w:line="240" w:lineRule="auto"/>
        <w:ind w:left="3119" w:hanging="113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000000" w:rsidDel="00000000" w:rsidP="00000000" w:rsidRDefault="00000000" w:rsidRPr="00000000" w14:paraId="00000052">
      <w:pPr>
        <w:pStyle w:val="Heading2"/>
        <w:keepNext w:val="0"/>
        <w:keepLines w:val="0"/>
        <w:numPr>
          <w:ilvl w:val="3"/>
          <w:numId w:val="3"/>
        </w:numPr>
        <w:spacing w:after="240" w:before="0" w:line="240" w:lineRule="auto"/>
        <w:ind w:left="3119" w:hanging="113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p>
    <w:p w:rsidR="00000000" w:rsidDel="00000000" w:rsidP="00000000" w:rsidRDefault="00000000" w:rsidRPr="00000000" w14:paraId="00000053">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993"/>
          <w:tab w:val="left" w:pos="1134"/>
        </w:tabs>
        <w:spacing w:after="24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by the Processor to comply with the obligations set out in Paragraph 7.1 shall be deemed to be an event to which clause 10.4.1 of the Core Terms applies and Clauses 10.6.1 and 10.6.2 of the Core Terms shall apply as if the Contract had been terminated under Clause 10.4.1. </w:t>
      </w:r>
    </w:p>
    <w:p w:rsidR="00000000" w:rsidDel="00000000" w:rsidP="00000000" w:rsidRDefault="00000000" w:rsidRPr="00000000" w14:paraId="00000054">
      <w:pPr>
        <w:pStyle w:val="Heading2"/>
        <w:keepNext w:val="0"/>
        <w:keepLines w:val="0"/>
        <w:numPr>
          <w:ilvl w:val="0"/>
          <w:numId w:val="3"/>
        </w:numPr>
        <w:pBdr>
          <w:top w:space="0" w:sz="0" w:val="nil"/>
          <w:left w:space="0" w:sz="0" w:val="nil"/>
          <w:bottom w:space="0" w:sz="0" w:val="nil"/>
          <w:right w:space="0" w:sz="0" w:val="nil"/>
          <w:between w:space="0" w:sz="0" w:val="nil"/>
        </w:pBdr>
        <w:tabs>
          <w:tab w:val="left" w:pos="567"/>
        </w:tabs>
        <w:spacing w:after="240" w:before="0" w:line="240" w:lineRule="auto"/>
        <w:ind w:left="0" w:firstLine="0"/>
        <w:jc w:val="both"/>
        <w:rPr>
          <w:rFonts w:ascii="Arial" w:cs="Arial" w:eastAsia="Arial" w:hAnsi="Arial"/>
          <w:b w:val="1"/>
          <w:color w:val="000000"/>
          <w:sz w:val="24"/>
          <w:szCs w:val="24"/>
        </w:rPr>
      </w:pPr>
      <w:bookmarkStart w:colFirst="0" w:colLast="0" w:name="_heading=h.3j2qqm3" w:id="19"/>
      <w:bookmarkEnd w:id="19"/>
      <w:r w:rsidDel="00000000" w:rsidR="00000000" w:rsidRPr="00000000">
        <w:rPr>
          <w:rFonts w:ascii="Arial" w:cs="Arial" w:eastAsia="Arial" w:hAnsi="Arial"/>
          <w:b w:val="1"/>
          <w:color w:val="000000"/>
          <w:sz w:val="24"/>
          <w:szCs w:val="24"/>
          <w:rtl w:val="0"/>
        </w:rPr>
        <w:t xml:space="preserve">Commissioners for Revenue and Customs Act 2005 and related Legislation </w:t>
      </w:r>
    </w:p>
    <w:p w:rsidR="00000000" w:rsidDel="00000000" w:rsidP="00000000" w:rsidRDefault="00000000" w:rsidRPr="00000000" w14:paraId="00000055">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993"/>
          <w:tab w:val="left" w:pos="1134"/>
        </w:tabs>
        <w:spacing w:after="24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CRCA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maintain the confidentiality of Government Data.  Further, the Supplier acknowledges that (without prejudice to any other rights and remedies of the Buyer) a breach of those obligations may lead to a prosecution under Section 19 of CRCA. </w:t>
      </w:r>
    </w:p>
    <w:p w:rsidR="00000000" w:rsidDel="00000000" w:rsidP="00000000" w:rsidRDefault="00000000" w:rsidRPr="00000000" w14:paraId="00000056">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993"/>
          <w:tab w:val="left" w:pos="1134"/>
        </w:tabs>
        <w:spacing w:after="24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 Further, the Supplier acknowledges that (without prejudice to any other rights and remedies of the Buyer) a breach of those obligations may lead to prosecution under those Acts. </w:t>
      </w:r>
    </w:p>
    <w:p w:rsidR="00000000" w:rsidDel="00000000" w:rsidP="00000000" w:rsidRDefault="00000000" w:rsidRPr="00000000" w14:paraId="00000057">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993"/>
          <w:tab w:val="left" w:pos="1134"/>
        </w:tabs>
        <w:spacing w:after="24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p>
    <w:p w:rsidR="00000000" w:rsidDel="00000000" w:rsidP="00000000" w:rsidRDefault="00000000" w:rsidRPr="00000000" w14:paraId="00000058">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993"/>
          <w:tab w:val="left" w:pos="1134"/>
        </w:tabs>
        <w:spacing w:after="24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regularly (not less than once every six (6) months) remind all Supplier Staff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have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access to, or are provided with, Government Data in writing of the obligations upon Supplier Staff set out in Paragraphs 8.1, 8.2 and 8.3.  The Supplier shall monitor the compliance by Supplier Staff with such obligations.</w:t>
      </w:r>
    </w:p>
    <w:p w:rsidR="00000000" w:rsidDel="00000000" w:rsidP="00000000" w:rsidRDefault="00000000" w:rsidRPr="00000000" w14:paraId="00000059">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993"/>
          <w:tab w:val="left" w:pos="1134"/>
        </w:tabs>
        <w:spacing w:after="24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p>
    <w:p w:rsidR="00000000" w:rsidDel="00000000" w:rsidP="00000000" w:rsidRDefault="00000000" w:rsidRPr="00000000" w14:paraId="0000005A">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993"/>
          <w:tab w:val="left" w:pos="1134"/>
        </w:tabs>
        <w:spacing w:after="24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or the Supplier Staff fail to comply with this Paragraph 8, the Buyer reserves the right to terminate the Contract as if that failure to comply were an event to which clause 10.4.1 of the Core Terms applies. </w:t>
      </w:r>
    </w:p>
    <w:p w:rsidR="00000000" w:rsidDel="00000000" w:rsidP="00000000" w:rsidRDefault="00000000" w:rsidRPr="00000000" w14:paraId="0000005B">
      <w:pPr>
        <w:spacing w:after="240" w:line="240" w:lineRule="auto"/>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5C">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Condition one (An in-scope entity or person)</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a person or entity which is either: (“X”)</w:t>
      </w:r>
    </w:p>
    <w:p w:rsidR="00000000" w:rsidDel="00000000" w:rsidP="00000000" w:rsidRDefault="00000000" w:rsidRPr="00000000" w14:paraId="0000005F">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12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or Essential Subcontractor (EOS)</w:t>
      </w:r>
    </w:p>
    <w:p w:rsidR="00000000" w:rsidDel="00000000" w:rsidP="00000000" w:rsidRDefault="00000000" w:rsidRPr="00000000" w14:paraId="00000060">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12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of the same Group of companies of EOS. An entity will be treated as within the same Group of EOS where that entities’ financial statements would be required to be consolidated with those of EOS if prepared in accordance with IFRS 10 Consolidated Financial Accounts</w:t>
      </w:r>
      <w:r w:rsidDel="00000000" w:rsidR="00000000" w:rsidRPr="00000000">
        <w:rPr>
          <w:rFonts w:ascii="Arimo" w:cs="Arimo" w:eastAsia="Arimo" w:hAnsi="Arimo"/>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1">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12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director, shareholder or other person (P) which exercises control over EOS. ‘Control’ means P can secure, through holding of shares or powers under articles of association or other </w:t>
      </w:r>
      <w:r w:rsidDel="00000000" w:rsidR="00000000" w:rsidRPr="00000000">
        <w:rPr>
          <w:rFonts w:ascii="Arial" w:cs="Arial" w:eastAsia="Arial" w:hAnsi="Arial"/>
          <w:sz w:val="24"/>
          <w:szCs w:val="24"/>
          <w:rtl w:val="0"/>
        </w:rPr>
        <w:t xml:space="preserve">documents, that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EOS’s affairs are conducted in accordance with P’s wishes.</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 has been engaged in one or more of the following:</w:t>
      </w:r>
    </w:p>
    <w:p w:rsidR="00000000" w:rsidDel="00000000" w:rsidP="00000000" w:rsidRDefault="00000000" w:rsidRPr="00000000" w14:paraId="00000064">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75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Fraudulent evasion</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5">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364.0000000000000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General Anti-Abuse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6">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364.0000000000000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Halifax Abuse principle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7">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364.0000000000000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arrangements caught by a DOTAS or VADR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8">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364.0000000000000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a recognised ‘anti-avoidance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5"/>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being a statutory provision which targets arrangements where either a main purpose, or an expected benefit, is to obtain a tax advantage or where the arrangement is not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effected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commercial purposes. ‘Targeted Anti-Avoidance Rules’ (TAARs). It may be useful to confirm that the Diverted Profits Tax is a TAAR for these purposes;</w:t>
      </w:r>
    </w:p>
    <w:p w:rsidR="00000000" w:rsidDel="00000000" w:rsidP="00000000" w:rsidRDefault="00000000" w:rsidRPr="00000000" w14:paraId="00000069">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40" w:lineRule="auto"/>
        <w:ind w:left="1134" w:right="0" w:hanging="364.0000000000000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an avoidance scheme identified by HMRC’s published Spotlights list</w:t>
      </w:r>
      <w:r w:rsidDel="00000000" w:rsidR="00000000" w:rsidRPr="00000000">
        <w:rPr>
          <w:rFonts w:ascii="Arimo" w:cs="Arimo" w:eastAsia="Arimo" w:hAnsi="Arimo"/>
          <w:b w:val="0"/>
          <w:i w:val="0"/>
          <w:smallCaps w:val="0"/>
          <w:strike w:val="0"/>
          <w:color w:val="000000"/>
          <w:sz w:val="24"/>
          <w:szCs w:val="24"/>
          <w:u w:val="none"/>
          <w:shd w:fill="auto" w:val="clear"/>
          <w:vertAlign w:val="superscript"/>
        </w:rPr>
        <w:footnoteReference w:customMarkFollows="0" w:id="6"/>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40" w:lineRule="auto"/>
        <w:ind w:left="1134" w:right="0" w:hanging="364.0000000000000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Engaged in conduct which falls under rules in other jurisdictions which are equivalent or similar to (a) to (f) above.</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X’s activity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where applicable, subject to dispute and/or litigation as follows:</w:t>
      </w:r>
    </w:p>
    <w:p w:rsidR="00000000" w:rsidDel="00000000" w:rsidP="00000000" w:rsidRDefault="00000000" w:rsidRPr="00000000" w14:paraId="0000006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62"/>
        </w:tabs>
        <w:spacing w:after="120" w:before="120" w:line="240" w:lineRule="auto"/>
        <w:ind w:left="0" w:right="0" w:firstLine="78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either X:</w:t>
      </w:r>
    </w:p>
    <w:p w:rsidR="00000000" w:rsidDel="00000000" w:rsidP="00000000" w:rsidRDefault="00000000" w:rsidRPr="00000000" w14:paraId="0000006E">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701"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7"/>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w:t>
      </w:r>
    </w:p>
    <w:p w:rsidR="00000000" w:rsidDel="00000000" w:rsidP="00000000" w:rsidRDefault="00000000" w:rsidRPr="00000000" w14:paraId="0000006F">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701"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charged with an offence of fraudulent evasion. </w:t>
      </w:r>
    </w:p>
    <w:p w:rsidR="00000000" w:rsidDel="00000000" w:rsidP="00000000" w:rsidRDefault="00000000" w:rsidRPr="00000000" w14:paraId="0000007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134" w:right="0" w:hanging="364.0000000000000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7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134" w:right="0" w:hanging="364.0000000000000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7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134" w:right="0" w:hanging="364.0000000000000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(f) this condition is satisfied without any further steps being taken.</w:t>
      </w:r>
    </w:p>
    <w:p w:rsidR="00000000" w:rsidDel="00000000" w:rsidP="00000000" w:rsidRDefault="00000000" w:rsidRPr="00000000" w14:paraId="0000007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134" w:right="0" w:hanging="364.0000000000000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(g) the foreign equivalent to each of the corresponding steps set out above in (i) to (iii).</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75">
      <w:pPr>
        <w:spacing w:after="24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6">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77">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78">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highlight w:val="yellow"/>
          <w:rtl w:val="0"/>
        </w:rPr>
        <w:t xml:space="preserve">for Supplier to insert Contract reference number and contract date</w:t>
      </w:r>
      <w:r w:rsidDel="00000000" w:rsidR="00000000" w:rsidRPr="00000000">
        <w:rPr>
          <w:rFonts w:ascii="Arial" w:cs="Arial" w:eastAsia="Arial" w:hAnsi="Arial"/>
          <w:sz w:val="24"/>
          <w:szCs w:val="24"/>
          <w:rtl w:val="0"/>
        </w:rPr>
        <w:t xml:space="preserve">] ((‘the Agreement’)</w:t>
      </w:r>
    </w:p>
    <w:p w:rsidR="00000000" w:rsidDel="00000000" w:rsidP="00000000" w:rsidRDefault="00000000" w:rsidRPr="00000000" w14:paraId="00000079">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7A">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7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p>
    <w:p w:rsidR="00000000" w:rsidDel="00000000" w:rsidP="00000000" w:rsidRDefault="00000000" w:rsidRPr="00000000" w14:paraId="0000007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understand and acknowledge that under Section 19 of the Commissioners for Revenue and Customs Act 2005 it may be a criminal offence to disclose any Government Data provided to me. </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2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5670.0" w:type="dxa"/>
        <w:jc w:val="left"/>
        <w:tblInd w:w="4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p w:rsidR="00000000" w:rsidDel="00000000" w:rsidP="00000000" w:rsidRDefault="00000000" w:rsidRPr="00000000" w14:paraId="0000007E">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rPr>
          <w:cantSplit w:val="0"/>
          <w:tblHeader w:val="0"/>
        </w:trPr>
        <w:tc>
          <w:tcPr/>
          <w:p w:rsidR="00000000" w:rsidDel="00000000" w:rsidP="00000000" w:rsidRDefault="00000000" w:rsidRPr="00000000" w14:paraId="0000007F">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rPr>
          <w:cantSplit w:val="0"/>
          <w:tblHeader w:val="0"/>
        </w:trPr>
        <w:tc>
          <w:tcPr/>
          <w:p w:rsidR="00000000" w:rsidDel="00000000" w:rsidP="00000000" w:rsidRDefault="00000000" w:rsidRPr="00000000" w14:paraId="00000080">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rPr>
          <w:cantSplit w:val="0"/>
          <w:tblHeader w:val="0"/>
        </w:trPr>
        <w:tc>
          <w:tcPr/>
          <w:p w:rsidR="00000000" w:rsidDel="00000000" w:rsidP="00000000" w:rsidRDefault="00000000" w:rsidRPr="00000000" w14:paraId="00000081">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rPr>
          <w:cantSplit w:val="0"/>
          <w:tblHeader w:val="0"/>
        </w:trPr>
        <w:tc>
          <w:tcPr/>
          <w:p w:rsidR="00000000" w:rsidDel="00000000" w:rsidP="00000000" w:rsidRDefault="00000000" w:rsidRPr="00000000" w14:paraId="00000082">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SIGNATURE: </w:t>
            </w:r>
          </w:p>
        </w:tc>
      </w:tr>
    </w:tbl>
    <w:p w:rsidR="00000000" w:rsidDel="00000000" w:rsidP="00000000" w:rsidRDefault="00000000" w:rsidRPr="00000000" w14:paraId="00000083">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spacing w:after="240" w:line="240" w:lineRule="auto"/>
        <w:jc w:val="right"/>
        <w:rPr/>
      </w:pPr>
      <w:r w:rsidDel="00000000" w:rsidR="00000000" w:rsidRPr="00000000">
        <w:rPr>
          <w:rtl w:val="0"/>
        </w:rPr>
      </w:r>
    </w:p>
    <w:sectPr>
      <w:headerReference r:id="rId8" w:type="default"/>
      <w:footerReference r:id="rId9"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5">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RM6261</w:t>
    </w:r>
  </w:p>
  <w:p w:rsidR="00000000" w:rsidDel="00000000" w:rsidP="00000000" w:rsidRDefault="00000000" w:rsidRPr="00000000" w14:paraId="0000009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1</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hyperlink r:id="rId1">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https://www.iasplus.com/en/standards/ifrs/ifrs10</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“General Anti-Abuse Rule” means (a) the legislation in Part 5 of the Finance Act 2013; and (b) any</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future legislation introduced into Parliament to counteract tax advantages arising from abusive</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arrangements to avoid national insurance contributions</w:t>
      </w:r>
    </w:p>
  </w:footnote>
  <w:footnote w:id="3">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“Halifax Abuse Principle” means the principle explained in the CJEU Case C-255/02 Halifax and others</w:t>
      </w:r>
    </w:p>
  </w:footnote>
  <w:footnote w:id="4">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Targeted list of tax avoidance schemes that HMRC believes are being used to avoid paying tax due and which are listed on the Spotlight website: </w:t>
      </w:r>
      <w:hyperlink r:id="rId2">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https://www.gov.uk/government/collections/tax-avoidance-schemes-currently-in-the-spotlight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7">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23 (HMRC Terms)</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abstractNum w:abstractNumId="3">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decimal"/>
      <w:lvlText w:val="%1.%2.%3.%4."/>
      <w:lvlJc w:val="left"/>
      <w:pPr>
        <w:ind w:left="1728" w:hanging="647.9999999999998"/>
      </w:pPr>
      <w:rPr>
        <w:color w:val="000000"/>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2"/>
      <w:numFmt w:val="decimal"/>
      <w:lvlText w:val="%1."/>
      <w:lvlJc w:val="left"/>
      <w:pPr>
        <w:ind w:left="0" w:firstLine="0"/>
      </w:pPr>
      <w:rPr/>
    </w:lvl>
    <w:lvl w:ilvl="1">
      <w:start w:val="1"/>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2"/>
      <w:numFmt w:val="decimal"/>
      <w:lvlText w:val="%1."/>
      <w:lvlJc w:val="left"/>
      <w:pPr>
        <w:ind w:left="0" w:firstLine="0"/>
      </w:pPr>
      <w:rPr/>
    </w:lvl>
    <w:lvl w:ilvl="1">
      <w:start w:val="1"/>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7">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0"/>
      <w:numFmt w:val="decimal"/>
      <w:lvlText w:val="%1."/>
      <w:lvlJc w:val="left"/>
      <w:pPr>
        <w:ind w:left="0" w:firstLine="0"/>
      </w:pPr>
      <w:rPr/>
    </w:lvl>
    <w:lvl w:ilvl="1">
      <w:start w:val="0"/>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9">
    <w:lvl w:ilvl="0">
      <w:start w:val="1"/>
      <w:numFmt w:val="decimal"/>
      <w:lvlText w:val="%1."/>
      <w:lvlJc w:val="left"/>
      <w:pPr>
        <w:ind w:left="720" w:hanging="360"/>
      </w:pPr>
      <w:rPr/>
    </w:lvl>
    <w:lvl w:ilvl="1">
      <w:start w:val="0"/>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E034E"/>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val="1"/>
    <w:qFormat w:val="1"/>
    <w:rsid w:val="00F74A0D"/>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basedOn w:val="Normal"/>
    <w:next w:val="Normal"/>
    <w:link w:val="Heading3Char"/>
    <w:uiPriority w:val="9"/>
    <w:unhideWhenUsed w:val="1"/>
    <w:qFormat w:val="1"/>
    <w:rsid w:val="00F41BDE"/>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2" w:customStyle="1">
    <w:name w:val="Body2"/>
    <w:basedOn w:val="Normal"/>
    <w:uiPriority w:val="99"/>
    <w:rsid w:val="005D2DCE"/>
    <w:pPr>
      <w:spacing w:after="220" w:line="240" w:lineRule="auto"/>
      <w:ind w:left="709"/>
      <w:jc w:val="both"/>
    </w:pPr>
    <w:rPr>
      <w:rFonts w:ascii="Trebuchet MS" w:cs="Times New Roman" w:eastAsia="Times New Roman" w:hAnsi="Trebuchet MS"/>
      <w:sz w:val="20"/>
      <w:szCs w:val="20"/>
    </w:rPr>
  </w:style>
  <w:style w:type="table" w:styleId="TableGrid">
    <w:name w:val="Table Grid"/>
    <w:basedOn w:val="TableNormal"/>
    <w:uiPriority w:val="39"/>
    <w:rsid w:val="0016586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F8367D"/>
    <w:pPr>
      <w:ind w:left="720"/>
      <w:contextualSpacing w:val="1"/>
    </w:pPr>
  </w:style>
  <w:style w:type="paragraph" w:styleId="BodyText">
    <w:name w:val="Body Text"/>
    <w:basedOn w:val="Normal"/>
    <w:link w:val="BodyTextChar"/>
    <w:semiHidden w:val="1"/>
    <w:rsid w:val="008A5F11"/>
    <w:pPr>
      <w:spacing w:after="120" w:line="240" w:lineRule="auto"/>
    </w:pPr>
    <w:rPr>
      <w:rFonts w:ascii="Times New Roman" w:cs="Times New Roman" w:eastAsia="Times New Roman" w:hAnsi="Times New Roman"/>
      <w:sz w:val="24"/>
      <w:szCs w:val="24"/>
      <w:lang w:eastAsia="en-GB"/>
    </w:rPr>
  </w:style>
  <w:style w:type="character" w:styleId="BodyTextChar" w:customStyle="1">
    <w:name w:val="Body Text Char"/>
    <w:basedOn w:val="DefaultParagraphFont"/>
    <w:link w:val="BodyText"/>
    <w:semiHidden w:val="1"/>
    <w:rsid w:val="008A5F11"/>
    <w:rPr>
      <w:rFonts w:ascii="Times New Roman" w:cs="Times New Roman" w:eastAsia="Times New Roman" w:hAnsi="Times New Roman"/>
      <w:sz w:val="24"/>
      <w:szCs w:val="24"/>
      <w:lang w:eastAsia="en-GB"/>
    </w:rPr>
  </w:style>
  <w:style w:type="paragraph" w:styleId="Header">
    <w:name w:val="header"/>
    <w:basedOn w:val="Normal"/>
    <w:link w:val="HeaderChar"/>
    <w:uiPriority w:val="99"/>
    <w:unhideWhenUsed w:val="1"/>
    <w:rsid w:val="003533FD"/>
    <w:pPr>
      <w:tabs>
        <w:tab w:val="center" w:pos="4513"/>
        <w:tab w:val="right" w:pos="9026"/>
      </w:tabs>
      <w:spacing w:after="0" w:line="240" w:lineRule="auto"/>
    </w:pPr>
  </w:style>
  <w:style w:type="character" w:styleId="HeaderChar" w:customStyle="1">
    <w:name w:val="Header Char"/>
    <w:basedOn w:val="DefaultParagraphFont"/>
    <w:link w:val="Header"/>
    <w:uiPriority w:val="99"/>
    <w:rsid w:val="003533FD"/>
  </w:style>
  <w:style w:type="paragraph" w:styleId="Footer">
    <w:name w:val="footer"/>
    <w:basedOn w:val="Normal"/>
    <w:link w:val="FooterChar"/>
    <w:uiPriority w:val="99"/>
    <w:unhideWhenUsed w:val="1"/>
    <w:rsid w:val="003533FD"/>
    <w:pPr>
      <w:tabs>
        <w:tab w:val="center" w:pos="4513"/>
        <w:tab w:val="right" w:pos="9026"/>
      </w:tabs>
      <w:spacing w:after="0" w:line="240" w:lineRule="auto"/>
    </w:pPr>
  </w:style>
  <w:style w:type="character" w:styleId="FooterChar" w:customStyle="1">
    <w:name w:val="Footer Char"/>
    <w:basedOn w:val="DefaultParagraphFont"/>
    <w:link w:val="Footer"/>
    <w:uiPriority w:val="99"/>
    <w:rsid w:val="003533FD"/>
  </w:style>
  <w:style w:type="paragraph" w:styleId="BalloonText">
    <w:name w:val="Balloon Text"/>
    <w:basedOn w:val="Normal"/>
    <w:link w:val="BalloonTextChar"/>
    <w:uiPriority w:val="99"/>
    <w:semiHidden w:val="1"/>
    <w:unhideWhenUsed w:val="1"/>
    <w:rsid w:val="0076306D"/>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76306D"/>
    <w:rPr>
      <w:rFonts w:ascii="Segoe UI" w:cs="Segoe UI" w:hAnsi="Segoe UI"/>
      <w:sz w:val="18"/>
      <w:szCs w:val="18"/>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cstheme="majorBidi" w:eastAsiaTheme="majorEastAsia" w:hAnsiTheme="majorHAnsi"/>
      <w:color w:val="2e74b5" w:themeColor="accent1" w:themeShade="0000BF"/>
      <w:sz w:val="26"/>
      <w:szCs w:val="26"/>
    </w:rPr>
  </w:style>
  <w:style w:type="character" w:styleId="CommentReference">
    <w:name w:val="annotation reference"/>
    <w:basedOn w:val="DefaultParagraphFont"/>
    <w:uiPriority w:val="99"/>
    <w:semiHidden w:val="1"/>
    <w:unhideWhenUsed w:val="1"/>
    <w:rsid w:val="00CD5173"/>
    <w:rPr>
      <w:sz w:val="16"/>
      <w:szCs w:val="16"/>
    </w:rPr>
  </w:style>
  <w:style w:type="paragraph" w:styleId="CommentText">
    <w:name w:val="annotation text"/>
    <w:basedOn w:val="Normal"/>
    <w:link w:val="CommentTextChar"/>
    <w:uiPriority w:val="99"/>
    <w:unhideWhenUsed w:val="1"/>
    <w:rsid w:val="00CD5173"/>
    <w:pPr>
      <w:spacing w:line="240" w:lineRule="auto"/>
    </w:pPr>
    <w:rPr>
      <w:sz w:val="20"/>
      <w:szCs w:val="20"/>
    </w:rPr>
  </w:style>
  <w:style w:type="character" w:styleId="CommentTextChar" w:customStyle="1">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val="1"/>
    <w:unhideWhenUsed w:val="1"/>
    <w:rsid w:val="00CD5173"/>
    <w:rPr>
      <w:b w:val="1"/>
      <w:bCs w:val="1"/>
    </w:rPr>
  </w:style>
  <w:style w:type="character" w:styleId="CommentSubjectChar" w:customStyle="1">
    <w:name w:val="Comment Subject Char"/>
    <w:basedOn w:val="CommentTextChar"/>
    <w:link w:val="CommentSubject"/>
    <w:uiPriority w:val="99"/>
    <w:semiHidden w:val="1"/>
    <w:rsid w:val="00CD5173"/>
    <w:rPr>
      <w:b w:val="1"/>
      <w:bCs w:val="1"/>
      <w:sz w:val="20"/>
      <w:szCs w:val="20"/>
    </w:rPr>
  </w:style>
  <w:style w:type="paragraph" w:styleId="TableNormal1" w:customStyle="1">
    <w:name w:val="Table Normal1"/>
    <w:basedOn w:val="Normal"/>
    <w:rsid w:val="00555F2E"/>
    <w:pPr>
      <w:spacing w:after="120" w:before="120" w:line="240" w:lineRule="auto"/>
      <w:ind w:left="34"/>
    </w:pPr>
    <w:rPr>
      <w:rFonts w:ascii="Trebuchet MS" w:cs="Times New Roman" w:eastAsia="Trebuchet MS" w:hAnsi="Trebuchet MS"/>
    </w:rPr>
  </w:style>
  <w:style w:type="character" w:styleId="Hyperlink">
    <w:name w:val="Hyperlink"/>
    <w:basedOn w:val="DefaultParagraphFont"/>
    <w:uiPriority w:val="99"/>
    <w:unhideWhenUsed w:val="1"/>
    <w:rsid w:val="00C103F3"/>
    <w:rPr>
      <w:color w:val="0000ff"/>
      <w:u w:val="single"/>
    </w:rPr>
  </w:style>
  <w:style w:type="paragraph" w:styleId="Revision">
    <w:name w:val="Revision"/>
    <w:hidden w:val="1"/>
    <w:uiPriority w:val="99"/>
    <w:semiHidden w:val="1"/>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cs="Arial Unicode MS" w:eastAsia="Arial Unicode MS" w:hAnsi="Arial Unicode MS"/>
      <w:sz w:val="24"/>
      <w:szCs w:val="24"/>
    </w:rPr>
  </w:style>
  <w:style w:type="paragraph" w:styleId="FootnoteText">
    <w:name w:val="footnote text"/>
    <w:basedOn w:val="Normal"/>
    <w:link w:val="FootnoteTextChar"/>
    <w:uiPriority w:val="99"/>
    <w:unhideWhenUsed w:val="1"/>
    <w:rsid w:val="00601C72"/>
    <w:pPr>
      <w:spacing w:after="0" w:line="240" w:lineRule="auto"/>
    </w:pPr>
    <w:rPr>
      <w:rFonts w:ascii="Calibri" w:cs="Times New Roman" w:eastAsia="Calibri" w:hAnsi="Calibri"/>
      <w:sz w:val="20"/>
      <w:szCs w:val="20"/>
    </w:rPr>
  </w:style>
  <w:style w:type="character" w:styleId="FootnoteTextChar" w:customStyle="1">
    <w:name w:val="Footnote Text Char"/>
    <w:basedOn w:val="DefaultParagraphFont"/>
    <w:link w:val="FootnoteText"/>
    <w:uiPriority w:val="99"/>
    <w:rsid w:val="00601C72"/>
    <w:rPr>
      <w:rFonts w:ascii="Calibri" w:cs="Times New Roman" w:eastAsia="Calibri" w:hAnsi="Calibri"/>
      <w:sz w:val="20"/>
      <w:szCs w:val="20"/>
    </w:rPr>
  </w:style>
  <w:style w:type="character" w:styleId="FootnoteReference">
    <w:name w:val="footnote reference"/>
    <w:uiPriority w:val="99"/>
    <w:unhideWhenUsed w:val="1"/>
    <w:rsid w:val="00601C72"/>
    <w:rPr>
      <w:vertAlign w:val="superscript"/>
    </w:rPr>
  </w:style>
  <w:style w:type="paragraph" w:styleId="paragraph" w:customStyle="1">
    <w:name w:val="paragraph"/>
    <w:basedOn w:val="Normal"/>
    <w:rsid w:val="00E07350"/>
    <w:pPr>
      <w:spacing w:after="0" w:line="240" w:lineRule="auto"/>
    </w:pPr>
    <w:rPr>
      <w:rFonts w:ascii="Times New Roman" w:cs="Times New Roman" w:eastAsia="Times New Roman" w:hAnsi="Times New Roman"/>
      <w:sz w:val="24"/>
      <w:szCs w:val="24"/>
      <w:lang w:eastAsia="en-GB"/>
    </w:rPr>
  </w:style>
  <w:style w:type="character" w:styleId="contextualspellingandgrammarerror" w:customStyle="1">
    <w:name w:val="contextualspellingandgrammarerror"/>
    <w:basedOn w:val="DefaultParagraphFont"/>
    <w:rsid w:val="00E07350"/>
  </w:style>
  <w:style w:type="character" w:styleId="normaltextrun1" w:customStyle="1">
    <w:name w:val="normaltextrun1"/>
    <w:basedOn w:val="DefaultParagraphFont"/>
    <w:rsid w:val="00E07350"/>
  </w:style>
  <w:style w:type="character" w:styleId="eop" w:customStyle="1">
    <w:name w:val="eop"/>
    <w:basedOn w:val="DefaultParagraphFont"/>
    <w:rsid w:val="00E07350"/>
  </w:style>
  <w:style w:type="character" w:styleId="findhit" w:customStyle="1">
    <w:name w:val="findhit"/>
    <w:basedOn w:val="DefaultParagraphFont"/>
    <w:rsid w:val="00CE122B"/>
    <w:rPr>
      <w:shd w:color="auto" w:fill="ffee80" w:val="clear"/>
    </w:rPr>
  </w:style>
  <w:style w:type="character" w:styleId="Heading3Char" w:customStyle="1">
    <w:name w:val="Heading 3 Char"/>
    <w:basedOn w:val="DefaultParagraphFont"/>
    <w:link w:val="Heading3"/>
    <w:uiPriority w:val="9"/>
    <w:rsid w:val="00F41BDE"/>
    <w:rPr>
      <w:rFonts w:asciiTheme="majorHAnsi" w:cstheme="majorBidi" w:eastAsiaTheme="majorEastAsia" w:hAnsiTheme="majorHAnsi"/>
      <w:color w:val="1f4d78" w:themeColor="accent1" w:themeShade="00007F"/>
      <w:sz w:val="24"/>
      <w:szCs w:val="24"/>
    </w:rPr>
  </w:style>
  <w:style w:type="character" w:styleId="normaltextrun" w:customStyle="1">
    <w:name w:val="normaltextrun"/>
    <w:basedOn w:val="DefaultParagraphFont"/>
    <w:rsid w:val="00F052EE"/>
  </w:style>
  <w:style w:type="paragraph" w:styleId="ScheduleL1" w:customStyle="1">
    <w:name w:val="Schedule L1"/>
    <w:basedOn w:val="Normal"/>
    <w:rsid w:val="004E2481"/>
    <w:pPr>
      <w:keepNext w:val="1"/>
      <w:numPr>
        <w:numId w:val="7"/>
      </w:numPr>
      <w:tabs>
        <w:tab w:val="clear" w:pos="720"/>
      </w:tabs>
      <w:adjustRightInd w:val="0"/>
      <w:spacing w:after="240" w:before="120" w:line="240" w:lineRule="auto"/>
      <w:ind w:left="357" w:hanging="357"/>
      <w:jc w:val="both"/>
      <w:outlineLvl w:val="0"/>
    </w:pPr>
    <w:rPr>
      <w:rFonts w:ascii="Calibri" w:cs="Times New Roman" w:eastAsia="STZhongsong" w:hAnsi="Calibri"/>
      <w:b w:val="1"/>
      <w:caps w:val="1"/>
      <w:szCs w:val="20"/>
      <w:lang w:eastAsia="zh-CN"/>
    </w:rPr>
  </w:style>
  <w:style w:type="paragraph" w:styleId="ScheduleL2" w:customStyle="1">
    <w:name w:val="Schedule L2"/>
    <w:basedOn w:val="Normal"/>
    <w:link w:val="ScheduleL2Char"/>
    <w:rsid w:val="004E2481"/>
    <w:pPr>
      <w:numPr>
        <w:ilvl w:val="1"/>
        <w:numId w:val="7"/>
      </w:numPr>
      <w:tabs>
        <w:tab w:val="left" w:pos="993"/>
      </w:tabs>
      <w:adjustRightInd w:val="0"/>
      <w:spacing w:after="120" w:before="120" w:line="240" w:lineRule="auto"/>
      <w:jc w:val="both"/>
      <w:outlineLvl w:val="1"/>
    </w:pPr>
    <w:rPr>
      <w:rFonts w:ascii="Calibri" w:cs="Times New Roman" w:eastAsia="STZhongsong" w:hAnsi="Calibri"/>
      <w:szCs w:val="20"/>
      <w:lang w:eastAsia="zh-CN" w:val="en-US"/>
    </w:rPr>
  </w:style>
  <w:style w:type="character" w:styleId="ScheduleL2Char" w:customStyle="1">
    <w:name w:val="Schedule L2 Char"/>
    <w:link w:val="ScheduleL2"/>
    <w:rsid w:val="004E2481"/>
    <w:rPr>
      <w:rFonts w:ascii="Calibri" w:cs="Times New Roman" w:eastAsia="STZhongsong" w:hAnsi="Calibri"/>
      <w:szCs w:val="20"/>
      <w:lang w:eastAsia="zh-CN" w:val="en-US"/>
    </w:rPr>
  </w:style>
  <w:style w:type="paragraph" w:styleId="ScheduleL3" w:customStyle="1">
    <w:name w:val="Schedule L3"/>
    <w:basedOn w:val="Normal"/>
    <w:rsid w:val="004E2481"/>
    <w:pPr>
      <w:numPr>
        <w:ilvl w:val="2"/>
        <w:numId w:val="7"/>
      </w:numPr>
      <w:adjustRightInd w:val="0"/>
      <w:spacing w:after="120" w:before="120" w:line="240" w:lineRule="auto"/>
      <w:ind w:hanging="807"/>
      <w:jc w:val="both"/>
      <w:outlineLvl w:val="2"/>
    </w:pPr>
    <w:rPr>
      <w:rFonts w:ascii="Calibri" w:cs="Times New Roman" w:eastAsia="STZhongsong" w:hAnsi="Calibri"/>
      <w:szCs w:val="20"/>
      <w:lang w:eastAsia="zh-CN"/>
    </w:rPr>
  </w:style>
  <w:style w:type="paragraph" w:styleId="ScheduleL4" w:customStyle="1">
    <w:name w:val="Schedule L4"/>
    <w:basedOn w:val="Normal"/>
    <w:rsid w:val="004E2481"/>
    <w:pPr>
      <w:numPr>
        <w:ilvl w:val="3"/>
        <w:numId w:val="7"/>
      </w:numPr>
      <w:adjustRightInd w:val="0"/>
      <w:spacing w:after="120" w:before="120" w:line="240" w:lineRule="auto"/>
      <w:jc w:val="both"/>
      <w:outlineLvl w:val="3"/>
    </w:pPr>
    <w:rPr>
      <w:rFonts w:ascii="Calibri" w:cs="Times New Roman" w:eastAsia="STZhongsong" w:hAnsi="Calibri"/>
      <w:szCs w:val="20"/>
      <w:lang w:eastAsia="zh-CN"/>
    </w:rPr>
  </w:style>
  <w:style w:type="paragraph" w:styleId="ScheduleL5" w:customStyle="1">
    <w:name w:val="Schedule L5"/>
    <w:basedOn w:val="Normal"/>
    <w:rsid w:val="004E2481"/>
    <w:pPr>
      <w:numPr>
        <w:ilvl w:val="4"/>
        <w:numId w:val="7"/>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rsid w:val="004E2481"/>
    <w:pPr>
      <w:numPr>
        <w:ilvl w:val="5"/>
        <w:numId w:val="7"/>
      </w:numPr>
      <w:overflowPunct w:val="0"/>
      <w:autoSpaceDE w:val="0"/>
      <w:autoSpaceDN w:val="0"/>
      <w:adjustRightInd w:val="0"/>
      <w:spacing w:after="240" w:line="240" w:lineRule="auto"/>
      <w:jc w:val="both"/>
      <w:textAlignment w:val="baseline"/>
      <w:outlineLvl w:val="5"/>
    </w:pPr>
    <w:rPr>
      <w:rFonts w:ascii="Times New Roman" w:cs="Arial" w:eastAsia="STZhongsong" w:hAnsi="Times New Roman"/>
      <w:szCs w:val="20"/>
      <w:lang w:eastAsia="zh-CN"/>
    </w:rPr>
  </w:style>
  <w:style w:type="paragraph" w:styleId="ScheduleL7" w:customStyle="1">
    <w:name w:val="Schedule L7"/>
    <w:basedOn w:val="Normal"/>
    <w:rsid w:val="004E2481"/>
    <w:pPr>
      <w:numPr>
        <w:ilvl w:val="6"/>
        <w:numId w:val="7"/>
      </w:numPr>
      <w:overflowPunct w:val="0"/>
      <w:autoSpaceDE w:val="0"/>
      <w:autoSpaceDN w:val="0"/>
      <w:adjustRightInd w:val="0"/>
      <w:spacing w:after="240" w:line="240" w:lineRule="auto"/>
      <w:jc w:val="both"/>
      <w:textAlignment w:val="baseline"/>
      <w:outlineLvl w:val="6"/>
    </w:pPr>
    <w:rPr>
      <w:rFonts w:ascii="Times New Roman" w:cs="Arial" w:eastAsia="STZhongsong" w:hAnsi="Times New Roman"/>
      <w:szCs w:val="20"/>
      <w:lang w:eastAsia="zh-CN"/>
    </w:rPr>
  </w:style>
  <w:style w:type="paragraph" w:styleId="ScheduleL8" w:customStyle="1">
    <w:name w:val="Schedule L8"/>
    <w:basedOn w:val="Normal"/>
    <w:rsid w:val="004E2481"/>
    <w:pPr>
      <w:numPr>
        <w:ilvl w:val="7"/>
        <w:numId w:val="7"/>
      </w:numPr>
      <w:overflowPunct w:val="0"/>
      <w:autoSpaceDE w:val="0"/>
      <w:autoSpaceDN w:val="0"/>
      <w:adjustRightInd w:val="0"/>
      <w:spacing w:after="240" w:line="240" w:lineRule="auto"/>
      <w:jc w:val="both"/>
      <w:textAlignment w:val="baseline"/>
      <w:outlineLvl w:val="7"/>
    </w:pPr>
    <w:rPr>
      <w:rFonts w:ascii="Times New Roman" w:cs="Arial" w:eastAsia="STZhongsong" w:hAnsi="Times New Roman"/>
      <w:szCs w:val="20"/>
      <w:lang w:eastAsia="zh-CN"/>
    </w:rPr>
  </w:style>
  <w:style w:type="paragraph" w:styleId="ScheduleL9" w:customStyle="1">
    <w:name w:val="Schedule L9"/>
    <w:basedOn w:val="Normal"/>
    <w:rsid w:val="004E2481"/>
    <w:pPr>
      <w:numPr>
        <w:ilvl w:val="8"/>
        <w:numId w:val="7"/>
      </w:numPr>
      <w:overflowPunct w:val="0"/>
      <w:autoSpaceDE w:val="0"/>
      <w:autoSpaceDN w:val="0"/>
      <w:adjustRightInd w:val="0"/>
      <w:spacing w:after="240" w:line="240" w:lineRule="auto"/>
      <w:jc w:val="both"/>
      <w:textAlignment w:val="baseline"/>
      <w:outlineLvl w:val="8"/>
    </w:pPr>
    <w:rPr>
      <w:rFonts w:ascii="Times New Roman" w:cs="Arial" w:eastAsia="STZhongsong" w:hAnsi="Times New Roman"/>
      <w:szCs w:val="20"/>
      <w:lang w:eastAsia="zh-CN"/>
    </w:rPr>
  </w:style>
  <w:style w:type="character" w:styleId="Heading1Char" w:customStyle="1">
    <w:name w:val="Heading 1 Char"/>
    <w:basedOn w:val="DefaultParagraphFont"/>
    <w:link w:val="Heading1"/>
    <w:uiPriority w:val="9"/>
    <w:rsid w:val="005E034E"/>
    <w:rPr>
      <w:rFonts w:asciiTheme="majorHAnsi" w:cstheme="majorBidi" w:eastAsiaTheme="majorEastAsia" w:hAnsiTheme="majorHAnsi"/>
      <w:color w:val="2e74b5" w:themeColor="accent1" w:themeShade="0000BF"/>
      <w:sz w:val="32"/>
      <w:szCs w:val="32"/>
    </w:rPr>
  </w:style>
  <w:style w:type="character" w:styleId="UnresolvedMention" w:customStyle="1">
    <w:name w:val="Unresolved Mention"/>
    <w:basedOn w:val="DefaultParagraphFont"/>
    <w:uiPriority w:val="99"/>
    <w:semiHidden w:val="1"/>
    <w:unhideWhenUsed w:val="1"/>
    <w:rsid w:val="002F5D65"/>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Dzw8vKf8JJuAMJ6RcSvI1FyY0Q==">AMUW2mVp6WUEWfVicm+VjHJbfsqgNPDZRtRQbgGf1e/Rs64zqpgPrf3waEKWi5k/vGu86ycE5rkbjZ6F0mMQjPOVKHIAQ6bU7iQk0zcNevVuqkhRRuMW4fXTFBCN3Cl0LaCjgNX3dNQgoEQkWhlVJI0sD2spj87Ww6B3n1UxMKWtbzfZmuGvBxI+1E7pmQo3LHZzC653d8hv3lbc4lW8coCf2f2ef5YqGf28WqOv9hdT09pXWAeT1M0V/Cuo8KmV2SsSSdmpHQFswhOzncCLKzkynCxGoIahGP+mvWhvWFp9q8lJbdUNyWn8vQtMFsXSU5AQ0gfGg1FgRP+A14y2KyMWarmmNhi45Nw2jmUQs7VXUGbSMwUlFNWsMt/lGHbBLowR4ArLyqxemXmm0+G4++3ten6ovqqJc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2022-07-05T15:58:00Z</dcterms:created>
  <dc:creator>Nightingale, Maksuda (Sols)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